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贵州经贸职业技术学院项目概算表</w:t>
      </w: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费用金额单位：元</w:t>
      </w:r>
    </w:p>
    <w:tbl>
      <w:tblPr>
        <w:tblStyle w:val="2"/>
        <w:tblW w:w="8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3520"/>
        <w:gridCol w:w="1616"/>
        <w:gridCol w:w="133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费用类别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责任部门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费用金额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计费依据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一</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项目建设直接费用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建设直接费用（工程费用）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二</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项目其他建设费用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2.1</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建设方案编制及论证</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2.2</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地勘报告编制</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2.3</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设计编制</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2.4</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造价预算编制</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资产管理处</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2.5</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项目监理</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2.6</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跟踪审计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资产管理处</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2.7</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结算审核</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资产管理处</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2.8</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决算审计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资产管理处</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其他费用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相关部门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kern w:val="2"/>
                <w:sz w:val="28"/>
                <w:szCs w:val="28"/>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三</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项目建设预备费</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预备费</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立项部门</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kern w:val="2"/>
                <w:sz w:val="28"/>
                <w:szCs w:val="28"/>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合计（元）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r>
    </w:tbl>
    <w:p>
      <w:pP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br w:type="page"/>
      </w:r>
    </w:p>
    <w:p>
      <w:pPr>
        <w:numPr>
          <w:ilvl w:val="0"/>
          <w:numId w:val="0"/>
        </w:numPr>
        <w:jc w:val="center"/>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贵州经贸职业技术学院项目实施各环节取费标准</w:t>
      </w:r>
    </w:p>
    <w:p>
      <w:pPr>
        <w:numPr>
          <w:ilvl w:val="0"/>
          <w:numId w:val="1"/>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项目各环节流程</w:t>
      </w:r>
    </w:p>
    <w:p>
      <w:pPr>
        <w:numPr>
          <w:ilvl w:val="0"/>
          <w:numId w:val="0"/>
        </w:numPr>
        <w:rPr>
          <w:rFonts w:hint="eastAsia" w:ascii="仿宋" w:hAnsi="仿宋" w:eastAsia="仿宋" w:cs="仿宋"/>
          <w:b/>
          <w:bCs/>
          <w:sz w:val="24"/>
          <w:szCs w:val="24"/>
          <w:lang w:val="en-US" w:eastAsia="zh-CN"/>
        </w:rPr>
      </w:pPr>
    </w:p>
    <w:tbl>
      <w:tblPr>
        <w:tblStyle w:val="3"/>
        <w:tblW w:w="10337" w:type="dxa"/>
        <w:tblInd w:w="-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1337"/>
        <w:gridCol w:w="1375"/>
        <w:gridCol w:w="1325"/>
        <w:gridCol w:w="1325"/>
        <w:gridCol w:w="117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流程</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w:t>
            </w:r>
          </w:p>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（小型维护维修类）</w:t>
            </w:r>
          </w:p>
        </w:tc>
        <w:tc>
          <w:tcPr>
            <w:tcW w:w="137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w:t>
            </w:r>
          </w:p>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（基建类）</w:t>
            </w:r>
          </w:p>
        </w:tc>
        <w:tc>
          <w:tcPr>
            <w:tcW w:w="1325" w:type="dxa"/>
            <w:vAlign w:val="center"/>
          </w:tcPr>
          <w:p>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货物</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货物</w:t>
            </w:r>
          </w:p>
          <w:p>
            <w:pPr>
              <w:numPr>
                <w:ilvl w:val="0"/>
                <w:numId w:val="0"/>
              </w:numPr>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（含部分工程类）</w:t>
            </w:r>
          </w:p>
        </w:tc>
        <w:tc>
          <w:tcPr>
            <w:tcW w:w="11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服务</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服务</w:t>
            </w:r>
          </w:p>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1.建设直接费用</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default"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default"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ind w:left="0" w:leftChars="0" w:firstLine="0" w:firstLineChars="0"/>
              <w:jc w:val="left"/>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2.</w:t>
            </w:r>
            <w:r>
              <w:rPr>
                <w:rFonts w:hint="eastAsia" w:ascii="仿宋" w:hAnsi="仿宋" w:eastAsia="仿宋" w:cs="仿宋"/>
                <w:b/>
                <w:bCs/>
                <w:sz w:val="24"/>
                <w:szCs w:val="24"/>
                <w:lang w:val="en-US" w:eastAsia="zh-CN"/>
              </w:rPr>
              <w:t>建设方案编制及论证</w:t>
            </w:r>
          </w:p>
        </w:tc>
        <w:tc>
          <w:tcPr>
            <w:tcW w:w="1337"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375"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761" w:type="dxa"/>
            <w:vAlign w:val="center"/>
          </w:tcPr>
          <w:p>
            <w:pPr>
              <w:numPr>
                <w:ilvl w:val="0"/>
                <w:numId w:val="0"/>
              </w:numPr>
              <w:ind w:left="0" w:leftChars="0" w:firstLine="0" w:firstLineChars="0"/>
              <w:jc w:val="center"/>
              <w:rPr>
                <w:rFonts w:hint="eastAsia" w:ascii="Arial" w:hAnsi="Arial" w:eastAsia="仿宋" w:cs="Arial"/>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由学院网络信息中心研判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ind w:left="0" w:leftChars="0" w:firstLine="0" w:firstLineChars="0"/>
              <w:jc w:val="left"/>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3.地勘</w:t>
            </w:r>
          </w:p>
        </w:tc>
        <w:tc>
          <w:tcPr>
            <w:tcW w:w="1337"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1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4.设计</w:t>
            </w:r>
          </w:p>
        </w:tc>
        <w:tc>
          <w:tcPr>
            <w:tcW w:w="1337" w:type="dxa"/>
            <w:vAlign w:val="center"/>
          </w:tcPr>
          <w:p>
            <w:pPr>
              <w:numPr>
                <w:ilvl w:val="0"/>
                <w:numId w:val="0"/>
              </w:numPr>
              <w:jc w:val="center"/>
              <w:rPr>
                <w:rFonts w:hint="default"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5.造价预算</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6.监理</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7.跟审</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8.结算审核</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9.决算审计</w:t>
            </w:r>
          </w:p>
        </w:tc>
        <w:tc>
          <w:tcPr>
            <w:tcW w:w="1337"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75" w:type="dxa"/>
            <w:vAlign w:val="center"/>
          </w:tcPr>
          <w:p>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ind w:left="0" w:leftChars="0" w:firstLine="0" w:firstLineChars="0"/>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Arial" w:hAnsi="Arial" w:eastAsia="仿宋" w:cs="Arial"/>
                <w:b w:val="0"/>
                <w:bCs w:val="0"/>
                <w:sz w:val="18"/>
                <w:szCs w:val="18"/>
                <w:vertAlign w:val="baseline"/>
                <w:lang w:val="en-US" w:eastAsia="zh-CN"/>
              </w:rPr>
              <w:t>根据情况</w:t>
            </w:r>
          </w:p>
        </w:tc>
        <w:tc>
          <w:tcPr>
            <w:tcW w:w="1761"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Arial" w:hAnsi="Arial" w:eastAsia="仿宋" w:cs="Arial"/>
                <w:b w:val="0"/>
                <w:bCs w:val="0"/>
                <w:sz w:val="18"/>
                <w:szCs w:val="18"/>
                <w:vertAlign w:val="baseline"/>
                <w:lang w:val="en-US" w:eastAsia="zh-CN"/>
              </w:rPr>
              <w:t>根据情况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10.预备费</w:t>
            </w:r>
          </w:p>
        </w:tc>
        <w:tc>
          <w:tcPr>
            <w:tcW w:w="1337"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75" w:type="dxa"/>
            <w:vAlign w:val="center"/>
          </w:tcPr>
          <w:p>
            <w:pPr>
              <w:numPr>
                <w:ilvl w:val="0"/>
                <w:numId w:val="0"/>
              </w:numPr>
              <w:ind w:left="0" w:leftChars="0" w:firstLine="0" w:firstLineChars="0"/>
              <w:jc w:val="center"/>
              <w:rPr>
                <w:rFonts w:hint="default" w:ascii="Arial" w:hAnsi="Arial" w:eastAsia="仿宋" w:cs="Arial"/>
                <w:b/>
                <w:bCs/>
                <w:sz w:val="24"/>
                <w:szCs w:val="24"/>
                <w:vertAlign w:val="baseline"/>
                <w:lang w:val="en-US" w:eastAsia="zh-CN"/>
              </w:rPr>
            </w:pPr>
            <w:r>
              <w:rPr>
                <w:rFonts w:hint="default" w:ascii="Arial" w:hAnsi="Arial" w:eastAsia="仿宋" w:cs="Arial"/>
                <w:b/>
                <w:bCs/>
                <w:sz w:val="24"/>
                <w:szCs w:val="24"/>
                <w:vertAlign w:val="baseline"/>
                <w:lang w:val="en-US" w:eastAsia="zh-CN"/>
              </w:rPr>
              <w:t>√</w:t>
            </w:r>
          </w:p>
        </w:tc>
        <w:tc>
          <w:tcPr>
            <w:tcW w:w="1325"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ind w:left="0" w:leftChars="0" w:firstLine="0" w:firstLineChars="0"/>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761"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pPr>
              <w:numPr>
                <w:ilvl w:val="0"/>
                <w:numId w:val="0"/>
              </w:numPr>
              <w:jc w:val="lef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11.其他费用</w:t>
            </w:r>
          </w:p>
        </w:tc>
        <w:tc>
          <w:tcPr>
            <w:tcW w:w="1337"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75" w:type="dxa"/>
            <w:vAlign w:val="center"/>
          </w:tcPr>
          <w:p>
            <w:pPr>
              <w:numPr>
                <w:ilvl w:val="0"/>
                <w:numId w:val="0"/>
              </w:numPr>
              <w:ind w:left="0" w:leftChars="0" w:firstLine="0" w:firstLineChars="0"/>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325" w:type="dxa"/>
            <w:vAlign w:val="center"/>
          </w:tcPr>
          <w:p>
            <w:pPr>
              <w:numPr>
                <w:ilvl w:val="0"/>
                <w:numId w:val="0"/>
              </w:numPr>
              <w:ind w:left="0" w:leftChars="0" w:firstLine="0" w:firstLineChars="0"/>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175" w:type="dxa"/>
            <w:vAlign w:val="center"/>
          </w:tcPr>
          <w:p>
            <w:pPr>
              <w:numPr>
                <w:ilvl w:val="0"/>
                <w:numId w:val="0"/>
              </w:numPr>
              <w:ind w:left="0" w:leftChars="0" w:firstLine="0" w:firstLineChars="0"/>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c>
          <w:tcPr>
            <w:tcW w:w="1761" w:type="dxa"/>
            <w:vAlign w:val="center"/>
          </w:tcPr>
          <w:p>
            <w:pPr>
              <w:numPr>
                <w:ilvl w:val="0"/>
                <w:numId w:val="0"/>
              </w:numPr>
              <w:jc w:val="center"/>
              <w:rPr>
                <w:rFonts w:hint="eastAsia" w:ascii="Arial" w:hAnsi="Arial" w:eastAsia="仿宋" w:cs="Arial"/>
                <w:b w:val="0"/>
                <w:bCs w:val="0"/>
                <w:sz w:val="18"/>
                <w:szCs w:val="18"/>
                <w:vertAlign w:val="baseline"/>
                <w:lang w:val="en-US" w:eastAsia="zh-CN"/>
              </w:rPr>
            </w:pPr>
            <w:r>
              <w:rPr>
                <w:rFonts w:hint="eastAsia" w:ascii="Arial" w:hAnsi="Arial" w:eastAsia="仿宋" w:cs="Arial"/>
                <w:b w:val="0"/>
                <w:bCs w:val="0"/>
                <w:sz w:val="18"/>
                <w:szCs w:val="18"/>
                <w:vertAlign w:val="baseline"/>
                <w:lang w:val="en-US" w:eastAsia="zh-CN"/>
              </w:rPr>
              <w:t>根据情况</w:t>
            </w:r>
          </w:p>
        </w:tc>
      </w:tr>
    </w:tbl>
    <w:p>
      <w:pPr>
        <w:numPr>
          <w:ilvl w:val="0"/>
          <w:numId w:val="0"/>
        </w:numPr>
        <w:rPr>
          <w:rFonts w:hint="default" w:ascii="仿宋" w:hAnsi="仿宋" w:eastAsia="仿宋" w:cs="仿宋"/>
          <w:b/>
          <w:bCs/>
          <w:sz w:val="24"/>
          <w:szCs w:val="24"/>
          <w:lang w:val="en-US" w:eastAsia="zh-CN"/>
        </w:rPr>
      </w:pPr>
      <w:r>
        <w:rPr>
          <w:rFonts w:hint="default" w:ascii="Arial" w:hAnsi="Arial" w:eastAsia="仿宋" w:cs="Arial"/>
          <w:b/>
          <w:bCs/>
          <w:sz w:val="24"/>
          <w:szCs w:val="24"/>
          <w:vertAlign w:val="baseline"/>
          <w:lang w:val="en-US" w:eastAsia="zh-CN"/>
        </w:rPr>
        <w:t>×</w:t>
      </w:r>
      <w:r>
        <w:rPr>
          <w:rFonts w:hint="eastAsia" w:ascii="Arial" w:hAnsi="Arial" w:eastAsia="仿宋" w:cs="Arial"/>
          <w:b/>
          <w:bCs/>
          <w:sz w:val="24"/>
          <w:szCs w:val="24"/>
          <w:vertAlign w:val="baseline"/>
          <w:lang w:val="en-US" w:eastAsia="zh-CN"/>
        </w:rPr>
        <w:t xml:space="preserve">代表不需要  </w:t>
      </w:r>
      <w:r>
        <w:rPr>
          <w:rFonts w:hint="default" w:ascii="Arial" w:hAnsi="Arial" w:eastAsia="仿宋" w:cs="Arial"/>
          <w:b/>
          <w:bCs/>
          <w:sz w:val="24"/>
          <w:szCs w:val="24"/>
          <w:vertAlign w:val="baseline"/>
          <w:lang w:val="en-US" w:eastAsia="zh-CN"/>
        </w:rPr>
        <w:t>√</w:t>
      </w:r>
      <w:r>
        <w:rPr>
          <w:rFonts w:hint="eastAsia" w:ascii="Arial" w:hAnsi="Arial" w:eastAsia="仿宋" w:cs="Arial"/>
          <w:b/>
          <w:bCs/>
          <w:sz w:val="24"/>
          <w:szCs w:val="24"/>
          <w:vertAlign w:val="baseline"/>
          <w:lang w:val="en-US" w:eastAsia="zh-CN"/>
        </w:rPr>
        <w:t>代表需要  其它根据具体情况研判是否需要开展</w:t>
      </w:r>
    </w:p>
    <w:p>
      <w:pPr>
        <w:numPr>
          <w:ilvl w:val="0"/>
          <w:numId w:val="0"/>
        </w:numPr>
        <w:rPr>
          <w:rFonts w:hint="eastAsia" w:ascii="仿宋" w:hAnsi="仿宋" w:eastAsia="仿宋" w:cs="仿宋"/>
          <w:b/>
          <w:bCs/>
          <w:sz w:val="24"/>
          <w:szCs w:val="24"/>
          <w:lang w:val="en-US" w:eastAsia="zh-CN"/>
        </w:rPr>
      </w:pPr>
    </w:p>
    <w:p>
      <w:pPr>
        <w:numPr>
          <w:ilvl w:val="0"/>
          <w:numId w:val="1"/>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取费标准</w:t>
      </w:r>
    </w:p>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建设直接费用</w:t>
      </w:r>
    </w:p>
    <w:p>
      <w:pPr>
        <w:numPr>
          <w:ilvl w:val="0"/>
          <w:numId w:val="0"/>
        </w:numPr>
        <w:ind w:firstLine="480" w:firstLineChars="200"/>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项目的建设直接费用亦称工程费用，是指因完成项目而直接耗用于建设本身的费用，其金额由立项部门根据市场调研确定，在项目建设方案中体现。其中基建类项目或技术复杂、预判施工过程中可能存在工程量变更的小型维护维修类工程项目需要提前考虑暂列金额，暂列金不得超过建设直接费用的3%。</w:t>
      </w:r>
    </w:p>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建设方案编制及论证</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参照国家或省内有关取费标准计费</w:t>
      </w:r>
    </w:p>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勘察</w:t>
      </w:r>
    </w:p>
    <w:p>
      <w:pPr>
        <w:numPr>
          <w:ilvl w:val="0"/>
          <w:numId w:val="0"/>
        </w:numPr>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勘察取费参考国家计委、建设部关于发布《工程勘察设计收费管理规定》的通知（计价格</w:t>
      </w:r>
      <w:r>
        <w:rPr>
          <w:rFonts w:hint="eastAsia" w:ascii="仿宋" w:hAnsi="仿宋" w:eastAsia="仿宋" w:cs="仿宋"/>
          <w:sz w:val="24"/>
          <w:szCs w:val="24"/>
          <w:lang w:val="en-US" w:eastAsia="zh-CN"/>
        </w:rPr>
        <w:t>〔2002〕</w:t>
      </w:r>
      <w:r>
        <w:rPr>
          <w:rFonts w:hint="eastAsia" w:ascii="仿宋" w:hAnsi="仿宋" w:eastAsia="仿宋" w:cs="仿宋"/>
          <w:b w:val="0"/>
          <w:bCs w:val="0"/>
          <w:sz w:val="24"/>
          <w:szCs w:val="24"/>
          <w:lang w:val="en-US" w:eastAsia="zh-CN"/>
        </w:rPr>
        <w:t>10号），并结合市场实际情况执行。</w:t>
      </w:r>
    </w:p>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设计</w:t>
      </w:r>
    </w:p>
    <w:p>
      <w:pPr>
        <w:numPr>
          <w:ilvl w:val="0"/>
          <w:numId w:val="0"/>
        </w:numPr>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设计取费参考国家计委、建设部关于发布《工程勘察设计收费管理规定》的通知（计价格</w:t>
      </w:r>
      <w:r>
        <w:rPr>
          <w:rFonts w:hint="eastAsia" w:ascii="仿宋" w:hAnsi="仿宋" w:eastAsia="仿宋" w:cs="仿宋"/>
          <w:sz w:val="24"/>
          <w:szCs w:val="24"/>
          <w:lang w:val="en-US" w:eastAsia="zh-CN"/>
        </w:rPr>
        <w:t>〔2002〕</w:t>
      </w:r>
      <w:r>
        <w:rPr>
          <w:rFonts w:hint="eastAsia" w:ascii="仿宋" w:hAnsi="仿宋" w:eastAsia="仿宋" w:cs="仿宋"/>
          <w:b w:val="0"/>
          <w:bCs w:val="0"/>
          <w:sz w:val="24"/>
          <w:szCs w:val="24"/>
          <w:lang w:val="en-US" w:eastAsia="zh-CN"/>
        </w:rPr>
        <w:t>10号），并结合市场实际情况执行。</w:t>
      </w:r>
    </w:p>
    <w:p>
      <w:pPr>
        <w:numPr>
          <w:ilvl w:val="0"/>
          <w:numId w:val="0"/>
        </w:numPr>
        <w:rPr>
          <w:rFonts w:hint="eastAsia" w:ascii="仿宋" w:hAnsi="仿宋" w:eastAsia="仿宋" w:cs="仿宋"/>
          <w:b/>
          <w:bCs/>
          <w:sz w:val="24"/>
          <w:szCs w:val="24"/>
          <w:lang w:val="en-US" w:eastAsia="zh-CN"/>
        </w:rPr>
      </w:pPr>
      <w:r>
        <w:drawing>
          <wp:anchor distT="0" distB="0" distL="114300" distR="114300" simplePos="0" relativeHeight="251659264" behindDoc="0" locked="0" layoutInCell="1" allowOverlap="1">
            <wp:simplePos x="0" y="0"/>
            <wp:positionH relativeFrom="column">
              <wp:posOffset>293370</wp:posOffset>
            </wp:positionH>
            <wp:positionV relativeFrom="paragraph">
              <wp:posOffset>81915</wp:posOffset>
            </wp:positionV>
            <wp:extent cx="4358640" cy="4328795"/>
            <wp:effectExtent l="0" t="0" r="3810" b="14605"/>
            <wp:wrapSquare wrapText="bothSides"/>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4"/>
                    <a:srcRect t="20311"/>
                    <a:stretch>
                      <a:fillRect/>
                    </a:stretch>
                  </pic:blipFill>
                  <pic:spPr>
                    <a:xfrm>
                      <a:off x="0" y="0"/>
                      <a:ext cx="4358640" cy="4328795"/>
                    </a:xfrm>
                    <a:prstGeom prst="rect">
                      <a:avLst/>
                    </a:prstGeom>
                    <a:noFill/>
                    <a:ln>
                      <a:noFill/>
                    </a:ln>
                  </pic:spPr>
                </pic:pic>
              </a:graphicData>
            </a:graphic>
          </wp:anchor>
        </w:drawing>
      </w: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造价预算</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参照贵州省建设工程造价管理协会发布的《贵州省建设工程造价咨询服务费参考标准》（黔造价协〔2021〕10号）执行，按预算金额分段计算。由于采购两家造价咨询机构同时开展造价预算工作，故服务费用×2。</w:t>
      </w:r>
    </w:p>
    <w:p>
      <w:pPr>
        <w:numPr>
          <w:ilvl w:val="0"/>
          <w:numId w:val="0"/>
        </w:numPr>
        <w:ind w:left="-1039" w:leftChars="-495"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drawing>
          <wp:inline distT="0" distB="0" distL="114300" distR="114300">
            <wp:extent cx="7044055" cy="121285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044055" cy="1212850"/>
                    </a:xfrm>
                    <a:prstGeom prst="rect">
                      <a:avLst/>
                    </a:prstGeom>
                    <a:noFill/>
                    <a:ln>
                      <a:noFill/>
                    </a:ln>
                  </pic:spPr>
                </pic:pic>
              </a:graphicData>
            </a:graphic>
          </wp:inline>
        </w:drawing>
      </w:r>
    </w:p>
    <w:p>
      <w:pPr>
        <w:numPr>
          <w:ilvl w:val="0"/>
          <w:numId w:val="0"/>
        </w:numPr>
        <w:rPr>
          <w:sz w:val="24"/>
          <w:szCs w:val="24"/>
        </w:rPr>
      </w:pPr>
      <w:r>
        <w:rPr>
          <w:sz w:val="24"/>
          <w:szCs w:val="24"/>
        </w:rPr>
        <w:drawing>
          <wp:inline distT="0" distB="0" distL="114300" distR="114300">
            <wp:extent cx="5268595" cy="257810"/>
            <wp:effectExtent l="0" t="0" r="825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8595" cy="257810"/>
                    </a:xfrm>
                    <a:prstGeom prst="rect">
                      <a:avLst/>
                    </a:prstGeom>
                    <a:noFill/>
                    <a:ln>
                      <a:noFill/>
                    </a:ln>
                  </pic:spPr>
                </pic:pic>
              </a:graphicData>
            </a:graphic>
          </wp:inline>
        </w:drawing>
      </w:r>
    </w:p>
    <w:p>
      <w:pPr>
        <w:numPr>
          <w:ilvl w:val="0"/>
          <w:numId w:val="0"/>
        </w:numPr>
        <w:rPr>
          <w:rFonts w:hint="eastAsia"/>
          <w:sz w:val="24"/>
          <w:szCs w:val="24"/>
          <w:lang w:val="en-US" w:eastAsia="zh-CN"/>
        </w:rPr>
      </w:pPr>
    </w:p>
    <w:p>
      <w:pPr>
        <w:numPr>
          <w:ilvl w:val="0"/>
          <w:numId w:val="2"/>
        </w:num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监理</w:t>
      </w:r>
    </w:p>
    <w:p>
      <w:pPr>
        <w:numPr>
          <w:ilvl w:val="0"/>
          <w:numId w:val="0"/>
        </w:num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参照国家发改委2007年版《建设工程监理与相关服务收费标准》执行。</w:t>
      </w:r>
    </w:p>
    <w:p>
      <w:pPr>
        <w:numPr>
          <w:ilvl w:val="0"/>
          <w:numId w:val="0"/>
        </w:numPr>
        <w:rPr>
          <w:rFonts w:hint="eastAsia" w:ascii="仿宋" w:hAnsi="仿宋" w:eastAsia="仿宋" w:cs="仿宋"/>
          <w:b/>
          <w:bCs/>
          <w:sz w:val="24"/>
          <w:szCs w:val="24"/>
          <w:lang w:val="en-US" w:eastAsia="zh-CN"/>
        </w:rPr>
      </w:pPr>
    </w:p>
    <w:p>
      <w:pPr>
        <w:numPr>
          <w:ilvl w:val="0"/>
          <w:numId w:val="0"/>
        </w:numPr>
        <w:jc w:val="center"/>
      </w:pPr>
      <w:r>
        <w:drawing>
          <wp:inline distT="0" distB="0" distL="114300" distR="114300">
            <wp:extent cx="3788410" cy="2842895"/>
            <wp:effectExtent l="0" t="0" r="2540" b="146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3788410" cy="2842895"/>
                    </a:xfrm>
                    <a:prstGeom prst="rect">
                      <a:avLst/>
                    </a:prstGeom>
                    <a:noFill/>
                    <a:ln>
                      <a:noFill/>
                    </a:ln>
                  </pic:spPr>
                </pic:pic>
              </a:graphicData>
            </a:graphic>
          </wp:inline>
        </w:drawing>
      </w:r>
    </w:p>
    <w:p>
      <w:pPr>
        <w:numPr>
          <w:ilvl w:val="0"/>
          <w:numId w:val="0"/>
        </w:numPr>
        <w:jc w:val="center"/>
        <w:rPr>
          <w:rFonts w:hint="default" w:eastAsiaTheme="minorEastAsia"/>
          <w:lang w:val="en-US" w:eastAsia="zh-CN"/>
        </w:rPr>
      </w:pPr>
      <w:r>
        <w:rPr>
          <w:rFonts w:hint="eastAsia"/>
          <w:lang w:val="en-US" w:eastAsia="zh-CN"/>
        </w:rPr>
        <w:t>注：监理服务工期与项目建设工期一致，如超期产生的费用需另行约定。</w:t>
      </w:r>
    </w:p>
    <w:p>
      <w:pPr>
        <w:numPr>
          <w:ilvl w:val="0"/>
          <w:numId w:val="2"/>
        </w:num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跟审</w:t>
      </w:r>
    </w:p>
    <w:p>
      <w:pPr>
        <w:numPr>
          <w:ilvl w:val="0"/>
          <w:numId w:val="0"/>
        </w:numPr>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照贵州省建设工程造价管理协会发布的《贵州省建设工程造价咨询服务费参考标准》（黔造价协〔2021〕10号）执行，按送审金额分段计算，包含基本收费和追加费用（即审减（增）绩效），追加费用按预算金额10%计算上限。</w:t>
      </w:r>
    </w:p>
    <w:p>
      <w:pPr>
        <w:numPr>
          <w:ilvl w:val="0"/>
          <w:numId w:val="0"/>
        </w:numPr>
        <w:ind w:left="-840" w:leftChars="-400" w:firstLine="0" w:firstLineChars="0"/>
      </w:pPr>
      <w:r>
        <w:drawing>
          <wp:inline distT="0" distB="0" distL="114300" distR="114300">
            <wp:extent cx="6344920" cy="1356995"/>
            <wp:effectExtent l="0" t="0" r="17780" b="146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6344920" cy="1356995"/>
                    </a:xfrm>
                    <a:prstGeom prst="rect">
                      <a:avLst/>
                    </a:prstGeom>
                    <a:noFill/>
                    <a:ln>
                      <a:noFill/>
                    </a:ln>
                  </pic:spPr>
                </pic:pic>
              </a:graphicData>
            </a:graphic>
          </wp:inline>
        </w:drawing>
      </w:r>
    </w:p>
    <w:p>
      <w:pPr>
        <w:numPr>
          <w:ilvl w:val="0"/>
          <w:numId w:val="0"/>
        </w:numPr>
        <w:ind w:leftChars="0"/>
        <w:rPr>
          <w:rFonts w:hint="eastAsia"/>
          <w:lang w:val="en-US" w:eastAsia="zh-CN"/>
        </w:rPr>
      </w:pPr>
      <w:r>
        <w:rPr>
          <w:sz w:val="24"/>
          <w:szCs w:val="24"/>
        </w:rPr>
        <w:drawing>
          <wp:inline distT="0" distB="0" distL="114300" distR="114300">
            <wp:extent cx="5272405" cy="413385"/>
            <wp:effectExtent l="0" t="0" r="4445" b="571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5272405" cy="413385"/>
                    </a:xfrm>
                    <a:prstGeom prst="rect">
                      <a:avLst/>
                    </a:prstGeom>
                    <a:noFill/>
                    <a:ln>
                      <a:noFill/>
                    </a:ln>
                  </pic:spPr>
                </pic:pic>
              </a:graphicData>
            </a:graphic>
          </wp:inline>
        </w:drawing>
      </w:r>
    </w:p>
    <w:p>
      <w:pPr>
        <w:numPr>
          <w:ilvl w:val="0"/>
          <w:numId w:val="2"/>
        </w:num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结算审核</w:t>
      </w:r>
    </w:p>
    <w:p>
      <w:pPr>
        <w:numPr>
          <w:ilvl w:val="0"/>
          <w:numId w:val="0"/>
        </w:numPr>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照贵州省建设工程造价管理协会发布的《贵州省建设工程造价咨询服务费参考标准》（黔造价协〔2021〕10号）执行，按送审金额分段计算，包含基本收费和追加费用（即审减（增）绩效），追加费用按预算金额10%计算上限。</w:t>
      </w:r>
    </w:p>
    <w:p>
      <w:pPr>
        <w:numPr>
          <w:ilvl w:val="0"/>
          <w:numId w:val="0"/>
        </w:numPr>
        <w:ind w:left="149" w:leftChars="-495" w:hanging="1188" w:hangingChars="495"/>
        <w:rPr>
          <w:rFonts w:hint="default" w:ascii="仿宋" w:hAnsi="仿宋" w:eastAsia="仿宋" w:cs="仿宋"/>
          <w:sz w:val="24"/>
          <w:szCs w:val="24"/>
          <w:lang w:val="en-US" w:eastAsia="zh-CN"/>
        </w:rPr>
      </w:pPr>
      <w:r>
        <w:rPr>
          <w:sz w:val="24"/>
          <w:szCs w:val="24"/>
        </w:rPr>
        <w:drawing>
          <wp:inline distT="0" distB="0" distL="114300" distR="114300">
            <wp:extent cx="7028180" cy="1294130"/>
            <wp:effectExtent l="0" t="0" r="1270"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7028180" cy="1294130"/>
                    </a:xfrm>
                    <a:prstGeom prst="rect">
                      <a:avLst/>
                    </a:prstGeom>
                    <a:noFill/>
                    <a:ln>
                      <a:noFill/>
                    </a:ln>
                  </pic:spPr>
                </pic:pic>
              </a:graphicData>
            </a:graphic>
          </wp:inline>
        </w:drawing>
      </w:r>
    </w:p>
    <w:p>
      <w:pPr>
        <w:numPr>
          <w:ilvl w:val="0"/>
          <w:numId w:val="0"/>
        </w:numPr>
        <w:ind w:leftChars="0"/>
        <w:rPr>
          <w:rFonts w:hint="eastAsia" w:ascii="仿宋" w:hAnsi="仿宋" w:eastAsia="仿宋" w:cs="仿宋"/>
          <w:b/>
          <w:bCs/>
          <w:sz w:val="24"/>
          <w:szCs w:val="24"/>
          <w:lang w:val="en-US" w:eastAsia="zh-CN"/>
        </w:rPr>
      </w:pPr>
      <w:r>
        <w:rPr>
          <w:sz w:val="24"/>
          <w:szCs w:val="24"/>
        </w:rPr>
        <w:drawing>
          <wp:inline distT="0" distB="0" distL="114300" distR="114300">
            <wp:extent cx="5272405" cy="413385"/>
            <wp:effectExtent l="0" t="0" r="4445"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5272405" cy="413385"/>
                    </a:xfrm>
                    <a:prstGeom prst="rect">
                      <a:avLst/>
                    </a:prstGeom>
                    <a:noFill/>
                    <a:ln>
                      <a:noFill/>
                    </a:ln>
                  </pic:spPr>
                </pic:pic>
              </a:graphicData>
            </a:graphic>
          </wp:inline>
        </w:drawing>
      </w:r>
    </w:p>
    <w:p>
      <w:pPr>
        <w:numPr>
          <w:ilvl w:val="0"/>
          <w:numId w:val="2"/>
        </w:num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决算审计</w:t>
      </w:r>
    </w:p>
    <w:p>
      <w:pPr>
        <w:numPr>
          <w:ilvl w:val="0"/>
          <w:numId w:val="0"/>
        </w:numPr>
        <w:ind w:leftChars="0"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参照贵州省物价局 贵州省财政厅关于印发《贵州省会计师事务所服务收费管理办法》（试行）的通知（黔价费〔2011〕244号）执行。</w:t>
      </w:r>
    </w:p>
    <w:tbl>
      <w:tblPr>
        <w:tblStyle w:val="2"/>
        <w:tblW w:w="0" w:type="auto"/>
        <w:jc w:val="center"/>
        <w:tblLayout w:type="autofit"/>
        <w:tblCellMar>
          <w:top w:w="0" w:type="dxa"/>
          <w:left w:w="0" w:type="dxa"/>
          <w:bottom w:w="0" w:type="dxa"/>
          <w:right w:w="0" w:type="dxa"/>
        </w:tblCellMar>
      </w:tblPr>
      <w:tblGrid>
        <w:gridCol w:w="1065"/>
        <w:gridCol w:w="984"/>
        <w:gridCol w:w="1056"/>
        <w:gridCol w:w="1338"/>
        <w:gridCol w:w="1445"/>
        <w:gridCol w:w="935"/>
        <w:gridCol w:w="802"/>
        <w:gridCol w:w="897"/>
      </w:tblGrid>
      <w:tr>
        <w:tblPrEx>
          <w:tblCellMar>
            <w:top w:w="0" w:type="dxa"/>
            <w:left w:w="0" w:type="dxa"/>
            <w:bottom w:w="0" w:type="dxa"/>
            <w:right w:w="0" w:type="dxa"/>
          </w:tblCellMar>
        </w:tblPrEx>
        <w:trPr>
          <w:trHeight w:val="370" w:hRule="atLeast"/>
          <w:jc w:val="center"/>
        </w:trPr>
        <w:tc>
          <w:tcPr>
            <w:tcW w:w="10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18"/>
                <w:szCs w:val="18"/>
                <w:highlight w:val="none"/>
              </w:rPr>
            </w:pPr>
            <w:r>
              <w:rPr>
                <w:rFonts w:hint="eastAsia" w:ascii="方正黑体_GBK" w:hAnsi="宋体" w:eastAsia="方正黑体_GBK" w:cs="宋体"/>
                <w:color w:val="000000"/>
                <w:kern w:val="0"/>
                <w:sz w:val="18"/>
                <w:szCs w:val="18"/>
                <w:highlight w:val="none"/>
              </w:rPr>
              <w:t>收费方式</w:t>
            </w:r>
          </w:p>
        </w:tc>
        <w:tc>
          <w:tcPr>
            <w:tcW w:w="7457"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18"/>
                <w:szCs w:val="18"/>
                <w:highlight w:val="none"/>
              </w:rPr>
            </w:pPr>
            <w:r>
              <w:rPr>
                <w:rFonts w:hint="eastAsia" w:ascii="方正黑体_GBK" w:hAnsi="宋体" w:eastAsia="方正黑体_GBK" w:cs="宋体"/>
                <w:color w:val="000000"/>
                <w:kern w:val="0"/>
                <w:sz w:val="18"/>
                <w:szCs w:val="18"/>
                <w:highlight w:val="none"/>
              </w:rPr>
              <w:t>计费额度及基准费率（‰）</w:t>
            </w:r>
          </w:p>
        </w:tc>
      </w:tr>
      <w:tr>
        <w:tblPrEx>
          <w:tblCellMar>
            <w:top w:w="0" w:type="dxa"/>
            <w:left w:w="0" w:type="dxa"/>
            <w:bottom w:w="0" w:type="dxa"/>
            <w:right w:w="0" w:type="dxa"/>
          </w:tblCellMar>
        </w:tblPrEx>
        <w:trPr>
          <w:trHeight w:val="669" w:hRule="atLeast"/>
          <w:jc w:val="center"/>
        </w:trPr>
        <w:tc>
          <w:tcPr>
            <w:tcW w:w="10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hint="default" w:ascii="宋体" w:hAnsi="宋体" w:eastAsia="宋体" w:cs="宋体"/>
                <w:color w:val="000000"/>
                <w:kern w:val="0"/>
                <w:sz w:val="18"/>
                <w:szCs w:val="18"/>
                <w:highlight w:val="none"/>
                <w:lang w:val="en-US" w:eastAsia="zh-CN"/>
              </w:rPr>
            </w:pPr>
            <w:r>
              <w:rPr>
                <w:rFonts w:hint="eastAsia" w:ascii="方正仿宋_GBK" w:hAnsi="宋体" w:eastAsia="方正仿宋_GBK" w:cs="宋体"/>
                <w:color w:val="000000"/>
                <w:kern w:val="0"/>
                <w:sz w:val="18"/>
                <w:szCs w:val="18"/>
                <w:highlight w:val="none"/>
                <w:lang w:val="en-US" w:eastAsia="zh-CN"/>
              </w:rPr>
              <w:t>项目金额</w:t>
            </w:r>
          </w:p>
        </w:tc>
        <w:tc>
          <w:tcPr>
            <w:tcW w:w="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方正仿宋_GBK" w:hAnsi="宋体" w:eastAsia="方正仿宋_GBK" w:cs="宋体"/>
                <w:color w:val="000000"/>
                <w:kern w:val="0"/>
                <w:sz w:val="18"/>
                <w:szCs w:val="18"/>
                <w:highlight w:val="none"/>
              </w:rPr>
              <w:t>不足</w:t>
            </w:r>
            <w:r>
              <w:rPr>
                <w:rFonts w:hint="eastAsia" w:ascii="宋体" w:hAnsi="宋体" w:eastAsia="宋体" w:cs="宋体"/>
                <w:color w:val="000000"/>
                <w:kern w:val="0"/>
                <w:sz w:val="18"/>
                <w:szCs w:val="18"/>
                <w:highlight w:val="none"/>
              </w:rPr>
              <w:t>100</w:t>
            </w:r>
            <w:r>
              <w:rPr>
                <w:rFonts w:hint="eastAsia" w:ascii="方正仿宋_GBK" w:hAnsi="宋体" w:eastAsia="方正仿宋_GBK" w:cs="宋体"/>
                <w:color w:val="000000"/>
                <w:kern w:val="0"/>
                <w:sz w:val="18"/>
                <w:szCs w:val="18"/>
                <w:highlight w:val="none"/>
              </w:rPr>
              <w:t>万元</w:t>
            </w:r>
          </w:p>
        </w:tc>
        <w:tc>
          <w:tcPr>
            <w:tcW w:w="10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100-500</w:t>
            </w:r>
            <w:r>
              <w:rPr>
                <w:rFonts w:hint="eastAsia" w:ascii="方正仿宋_GBK" w:hAnsi="宋体" w:eastAsia="方正仿宋_GBK" w:cs="宋体"/>
                <w:color w:val="000000"/>
                <w:kern w:val="0"/>
                <w:sz w:val="18"/>
                <w:szCs w:val="18"/>
                <w:highlight w:val="none"/>
              </w:rPr>
              <w:t>万元</w:t>
            </w:r>
          </w:p>
        </w:tc>
        <w:tc>
          <w:tcPr>
            <w:tcW w:w="13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500-1000</w:t>
            </w:r>
            <w:r>
              <w:rPr>
                <w:rFonts w:hint="eastAsia" w:ascii="方正仿宋_GBK" w:hAnsi="宋体" w:eastAsia="方正仿宋_GBK" w:cs="宋体"/>
                <w:color w:val="000000"/>
                <w:kern w:val="0"/>
                <w:sz w:val="18"/>
                <w:szCs w:val="18"/>
                <w:highlight w:val="none"/>
              </w:rPr>
              <w:t>万元</w:t>
            </w:r>
          </w:p>
        </w:tc>
        <w:tc>
          <w:tcPr>
            <w:tcW w:w="14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1000-5000</w:t>
            </w:r>
            <w:r>
              <w:rPr>
                <w:rFonts w:hint="eastAsia" w:ascii="方正仿宋_GBK" w:hAnsi="宋体" w:eastAsia="方正仿宋_GBK" w:cs="宋体"/>
                <w:color w:val="000000"/>
                <w:kern w:val="0"/>
                <w:sz w:val="18"/>
                <w:szCs w:val="18"/>
                <w:highlight w:val="none"/>
              </w:rPr>
              <w:t>万元</w:t>
            </w:r>
          </w:p>
        </w:tc>
        <w:tc>
          <w:tcPr>
            <w:tcW w:w="9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w:t>
            </w:r>
            <w:r>
              <w:rPr>
                <w:rFonts w:hint="eastAsia" w:ascii="方正仿宋_GBK" w:hAnsi="宋体" w:eastAsia="方正仿宋_GBK" w:cs="宋体"/>
                <w:color w:val="000000"/>
                <w:kern w:val="0"/>
                <w:sz w:val="18"/>
                <w:szCs w:val="18"/>
                <w:highlight w:val="none"/>
              </w:rPr>
              <w:t>万元</w:t>
            </w:r>
            <w:r>
              <w:rPr>
                <w:rFonts w:hint="eastAsia" w:ascii="宋体" w:hAnsi="宋体" w:eastAsia="宋体" w:cs="宋体"/>
                <w:color w:val="000000"/>
                <w:kern w:val="0"/>
                <w:sz w:val="18"/>
                <w:szCs w:val="18"/>
                <w:highlight w:val="none"/>
              </w:rPr>
              <w:t>-1</w:t>
            </w:r>
            <w:r>
              <w:rPr>
                <w:rFonts w:hint="eastAsia" w:ascii="方正仿宋_GBK" w:hAnsi="宋体" w:eastAsia="方正仿宋_GBK" w:cs="宋体"/>
                <w:color w:val="000000"/>
                <w:kern w:val="0"/>
                <w:sz w:val="18"/>
                <w:szCs w:val="18"/>
                <w:highlight w:val="none"/>
              </w:rPr>
              <w:t>亿元</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1-5</w:t>
            </w:r>
            <w:r>
              <w:rPr>
                <w:rFonts w:hint="eastAsia" w:ascii="方正仿宋_GBK" w:hAnsi="宋体" w:eastAsia="方正仿宋_GBK" w:cs="宋体"/>
                <w:color w:val="000000"/>
                <w:kern w:val="0"/>
                <w:sz w:val="18"/>
                <w:szCs w:val="18"/>
                <w:highlight w:val="none"/>
              </w:rPr>
              <w:t>亿元</w:t>
            </w:r>
          </w:p>
        </w:tc>
        <w:tc>
          <w:tcPr>
            <w:tcW w:w="8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方正仿宋_GBK" w:hAnsi="宋体" w:eastAsia="方正仿宋_GBK" w:cs="宋体"/>
                <w:color w:val="000000"/>
                <w:kern w:val="0"/>
                <w:sz w:val="18"/>
                <w:szCs w:val="18"/>
                <w:highlight w:val="none"/>
              </w:rPr>
              <w:t>超过</w:t>
            </w:r>
            <w:r>
              <w:rPr>
                <w:rFonts w:hint="eastAsia" w:ascii="宋体" w:hAnsi="宋体" w:eastAsia="宋体" w:cs="宋体"/>
                <w:color w:val="000000"/>
                <w:kern w:val="0"/>
                <w:sz w:val="18"/>
                <w:szCs w:val="18"/>
                <w:highlight w:val="none"/>
              </w:rPr>
              <w:t>5</w:t>
            </w:r>
            <w:r>
              <w:rPr>
                <w:rFonts w:hint="eastAsia" w:ascii="方正仿宋_GBK" w:hAnsi="宋体" w:eastAsia="方正仿宋_GBK" w:cs="宋体"/>
                <w:color w:val="000000"/>
                <w:kern w:val="0"/>
                <w:sz w:val="18"/>
                <w:szCs w:val="18"/>
                <w:highlight w:val="none"/>
              </w:rPr>
              <w:t>亿元</w:t>
            </w:r>
          </w:p>
        </w:tc>
      </w:tr>
      <w:tr>
        <w:tblPrEx>
          <w:tblCellMar>
            <w:top w:w="0" w:type="dxa"/>
            <w:left w:w="0" w:type="dxa"/>
            <w:bottom w:w="0" w:type="dxa"/>
            <w:right w:w="0" w:type="dxa"/>
          </w:tblCellMar>
        </w:tblPrEx>
        <w:trPr>
          <w:trHeight w:val="443" w:hRule="atLeast"/>
          <w:jc w:val="center"/>
        </w:trPr>
        <w:tc>
          <w:tcPr>
            <w:tcW w:w="106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方正仿宋_GBK" w:hAnsi="宋体" w:eastAsia="方正仿宋_GBK" w:cs="宋体"/>
                <w:color w:val="000000"/>
                <w:kern w:val="0"/>
                <w:sz w:val="18"/>
                <w:szCs w:val="18"/>
                <w:highlight w:val="none"/>
              </w:rPr>
              <w:t>建筑工程项目预、决算审计</w:t>
            </w:r>
          </w:p>
        </w:tc>
        <w:tc>
          <w:tcPr>
            <w:tcW w:w="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3000</w:t>
            </w:r>
            <w:r>
              <w:rPr>
                <w:rFonts w:hint="eastAsia" w:ascii="方正仿宋_GBK" w:hAnsi="宋体" w:eastAsia="方正仿宋_GBK" w:cs="宋体"/>
                <w:color w:val="000000"/>
                <w:kern w:val="0"/>
                <w:sz w:val="18"/>
                <w:szCs w:val="18"/>
                <w:highlight w:val="none"/>
              </w:rPr>
              <w:t>元</w:t>
            </w:r>
          </w:p>
        </w:tc>
        <w:tc>
          <w:tcPr>
            <w:tcW w:w="10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4.8</w:t>
            </w:r>
          </w:p>
        </w:tc>
        <w:tc>
          <w:tcPr>
            <w:tcW w:w="13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4.2</w:t>
            </w:r>
          </w:p>
        </w:tc>
        <w:tc>
          <w:tcPr>
            <w:tcW w:w="14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3.6</w:t>
            </w:r>
          </w:p>
        </w:tc>
        <w:tc>
          <w:tcPr>
            <w:tcW w:w="9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2.4</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1.8</w:t>
            </w:r>
          </w:p>
        </w:tc>
        <w:tc>
          <w:tcPr>
            <w:tcW w:w="8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r>
      <w:tr>
        <w:tblPrEx>
          <w:tblCellMar>
            <w:top w:w="0" w:type="dxa"/>
            <w:left w:w="0" w:type="dxa"/>
            <w:bottom w:w="0" w:type="dxa"/>
            <w:right w:w="0" w:type="dxa"/>
          </w:tblCellMar>
        </w:tblPrEx>
        <w:trPr>
          <w:trHeight w:val="2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270" w:lineRule="atLeast"/>
              <w:jc w:val="center"/>
              <w:rPr>
                <w:rFonts w:ascii="宋体" w:hAnsi="宋体" w:eastAsia="宋体" w:cs="宋体"/>
                <w:color w:val="000000"/>
                <w:kern w:val="0"/>
                <w:sz w:val="18"/>
                <w:szCs w:val="18"/>
                <w:highlight w:val="none"/>
              </w:rPr>
            </w:pPr>
          </w:p>
        </w:tc>
        <w:tc>
          <w:tcPr>
            <w:tcW w:w="7457"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80" w:lineRule="atLeast"/>
              <w:jc w:val="center"/>
              <w:rPr>
                <w:rFonts w:ascii="宋体" w:hAnsi="宋体" w:eastAsia="宋体" w:cs="宋体"/>
                <w:color w:val="000000"/>
                <w:kern w:val="0"/>
                <w:sz w:val="18"/>
                <w:szCs w:val="18"/>
                <w:highlight w:val="none"/>
              </w:rPr>
            </w:pPr>
            <w:r>
              <w:rPr>
                <w:rFonts w:hint="eastAsia" w:ascii="方正仿宋_GBK" w:hAnsi="宋体" w:eastAsia="方正仿宋_GBK" w:cs="宋体"/>
                <w:color w:val="000000"/>
                <w:kern w:val="0"/>
                <w:sz w:val="18"/>
                <w:szCs w:val="18"/>
                <w:highlight w:val="none"/>
              </w:rPr>
              <w:t>审减部分按减额的</w:t>
            </w:r>
            <w:r>
              <w:rPr>
                <w:rFonts w:hint="eastAsia" w:ascii="宋体" w:hAnsi="宋体" w:eastAsia="宋体" w:cs="宋体"/>
                <w:color w:val="000000"/>
                <w:kern w:val="0"/>
                <w:sz w:val="18"/>
                <w:szCs w:val="18"/>
                <w:highlight w:val="none"/>
              </w:rPr>
              <w:t>5%-8%</w:t>
            </w:r>
            <w:r>
              <w:rPr>
                <w:rFonts w:hint="eastAsia" w:ascii="方正仿宋_GBK" w:hAnsi="宋体" w:eastAsia="方正仿宋_GBK" w:cs="宋体"/>
                <w:color w:val="000000"/>
                <w:kern w:val="0"/>
                <w:sz w:val="18"/>
                <w:szCs w:val="18"/>
                <w:highlight w:val="none"/>
              </w:rPr>
              <w:t>收取，具体应与委托方协商一致后，在合同中注明。</w:t>
            </w:r>
          </w:p>
        </w:tc>
      </w:tr>
    </w:tbl>
    <w:p>
      <w:pPr>
        <w:numPr>
          <w:ilvl w:val="0"/>
          <w:numId w:val="0"/>
        </w:numPr>
        <w:ind w:leftChars="0"/>
        <w:rPr>
          <w:rFonts w:hint="eastAsia" w:ascii="仿宋" w:hAnsi="仿宋" w:eastAsia="仿宋" w:cs="仿宋"/>
          <w:b/>
          <w:bCs/>
          <w:sz w:val="24"/>
          <w:szCs w:val="24"/>
          <w:highlight w:val="none"/>
          <w:lang w:val="en-US" w:eastAsia="zh-CN"/>
        </w:rPr>
      </w:pPr>
    </w:p>
    <w:p>
      <w:pPr>
        <w:numPr>
          <w:ilvl w:val="0"/>
          <w:numId w:val="2"/>
        </w:num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其他费用</w:t>
      </w:r>
    </w:p>
    <w:p>
      <w:pPr>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由学院相关部门参照国家或省内有关取费标准计费。</w:t>
      </w:r>
    </w:p>
    <w:p>
      <w:pPr>
        <w:numPr>
          <w:ilvl w:val="0"/>
          <w:numId w:val="2"/>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预备费</w:t>
      </w:r>
    </w:p>
    <w:p>
      <w:pPr>
        <w:numPr>
          <w:ilvl w:val="0"/>
          <w:numId w:val="0"/>
        </w:num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备费指在项目实施过程中可能发生难以预料的支出而事先预留的费用，其费用类型不同于建设直接费用中的暂列金，他可以用于项目实施过程中的除建设直接费用之外的各个环节，其取费上限值为项目建设直接费用与项目其他建设费用两者之和的3%。</w:t>
      </w:r>
    </w:p>
    <w:p>
      <w:pPr>
        <w:numPr>
          <w:ilvl w:val="0"/>
          <w:numId w:val="0"/>
        </w:numPr>
        <w:ind w:leftChars="0" w:firstLine="480" w:firstLineChars="200"/>
        <w:rPr>
          <w:rFonts w:hint="eastAsia" w:ascii="仿宋" w:hAnsi="仿宋" w:eastAsia="仿宋" w:cs="仿宋"/>
          <w:sz w:val="24"/>
          <w:szCs w:val="24"/>
          <w:lang w:val="en-US" w:eastAsia="zh-CN"/>
        </w:rPr>
      </w:pPr>
    </w:p>
    <w:p>
      <w:pPr>
        <w:numPr>
          <w:ilvl w:val="0"/>
          <w:numId w:val="0"/>
        </w:numPr>
        <w:ind w:leftChars="0"/>
        <w:rPr>
          <w:rFonts w:hint="default" w:ascii="仿宋" w:hAnsi="仿宋" w:eastAsia="仿宋" w:cs="仿宋"/>
          <w:sz w:val="24"/>
          <w:szCs w:val="24"/>
          <w:lang w:val="en-US" w:eastAsia="zh-CN"/>
        </w:rPr>
      </w:pPr>
    </w:p>
    <w:p>
      <w:pPr>
        <w:numPr>
          <w:ilvl w:val="0"/>
          <w:numId w:val="0"/>
        </w:numPr>
        <w:ind w:leftChars="0"/>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C6FCB"/>
    <w:multiLevelType w:val="singleLevel"/>
    <w:tmpl w:val="CEDC6FCB"/>
    <w:lvl w:ilvl="0" w:tentative="0">
      <w:start w:val="1"/>
      <w:numFmt w:val="chineseCounting"/>
      <w:suff w:val="nothing"/>
      <w:lvlText w:val="%1、"/>
      <w:lvlJc w:val="left"/>
      <w:rPr>
        <w:rFonts w:hint="eastAsia"/>
      </w:rPr>
    </w:lvl>
  </w:abstractNum>
  <w:abstractNum w:abstractNumId="1">
    <w:nsid w:val="53706DC9"/>
    <w:multiLevelType w:val="singleLevel"/>
    <w:tmpl w:val="53706D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DYyOTgxNzU0Zjc2ZTY3NjBiODc2ZjJmOTJhOGUifQ=="/>
    <w:docVar w:name="KSO_WPS_MARK_KEY" w:val="14652cc4-3d25-4370-b838-fd6968bfe3cc"/>
  </w:docVars>
  <w:rsids>
    <w:rsidRoot w:val="00000000"/>
    <w:rsid w:val="033943C9"/>
    <w:rsid w:val="06E339FF"/>
    <w:rsid w:val="0F184516"/>
    <w:rsid w:val="0F6C3218"/>
    <w:rsid w:val="156D4C50"/>
    <w:rsid w:val="18EA4D93"/>
    <w:rsid w:val="1DFF297C"/>
    <w:rsid w:val="28977E39"/>
    <w:rsid w:val="2AD053CB"/>
    <w:rsid w:val="33EF1A09"/>
    <w:rsid w:val="41D57D66"/>
    <w:rsid w:val="44F5377F"/>
    <w:rsid w:val="4E8709D2"/>
    <w:rsid w:val="55216B22"/>
    <w:rsid w:val="55701DC9"/>
    <w:rsid w:val="55BA398E"/>
    <w:rsid w:val="580A0439"/>
    <w:rsid w:val="5F8A2980"/>
    <w:rsid w:val="67522925"/>
    <w:rsid w:val="6BEB6B0A"/>
    <w:rsid w:val="6C4D6914"/>
    <w:rsid w:val="6FAE4CB4"/>
    <w:rsid w:val="72A25FFA"/>
    <w:rsid w:val="7AE3570F"/>
    <w:rsid w:val="7CEF08BD"/>
    <w:rsid w:val="7D5C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1441</Words>
  <Characters>1558</Characters>
  <Lines>0</Lines>
  <Paragraphs>0</Paragraphs>
  <TotalTime>0</TotalTime>
  <ScaleCrop>false</ScaleCrop>
  <LinksUpToDate>false</LinksUpToDate>
  <CharactersWithSpaces>1563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2023-03-22T02:11:00Z</dcterms:created>
  <dc:creator>Administrator</dc:creator>
  <cp:lastModifiedBy>阿牛</cp:lastModifiedBy>
  <dcterms:modified xsi:type="dcterms:W3CDTF">2023-05-11T04:55:03Z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B3E6A5CD56B3408A8A01FF7E62FB736D</vt:lpwstr>
  </property>
</Properties>
</file>